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6480"/>
      </w:tblGrid>
      <w:tr>
        <w:trPr>
          <w:trHeight w:val="2536" w:hRule="auto"/>
          <w:jc w:val="left"/>
        </w:trPr>
        <w:tc>
          <w:tcPr>
            <w:tcW w:w="6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FFFF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FFFFFF"/>
                <w:spacing w:val="0"/>
                <w:position w:val="0"/>
                <w:sz w:val="28"/>
                <w:shd w:fill="auto" w:val="clear"/>
              </w:rPr>
              <w:t xml:space="preserve"> 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865" w:dyaOrig="2220">
                <v:rect xmlns:o="urn:schemas-microsoft-com:office:office" xmlns:v="urn:schemas-microsoft-com:vml" id="rectole0000000000" style="width:143.250000pt;height:111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142" w:firstLine="0"/>
              <w:jc w:val="left"/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52"/>
                <w:shd w:fill="auto" w:val="clear"/>
              </w:rPr>
            </w:pPr>
            <w:r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52"/>
                <w:shd w:fill="auto" w:val="clear"/>
              </w:rPr>
              <w:t xml:space="preserve">Informe Trimestral de</w:t>
            </w:r>
          </w:p>
          <w:p>
            <w:pPr>
              <w:spacing w:before="0" w:after="0" w:line="276"/>
              <w:ind w:right="0" w:left="142" w:firstLine="0"/>
              <w:jc w:val="left"/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52"/>
                <w:shd w:fill="auto" w:val="clear"/>
              </w:rPr>
            </w:pPr>
            <w:r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52"/>
                <w:shd w:fill="auto" w:val="clear"/>
              </w:rPr>
              <w:t xml:space="preserve">Estadísticas Institucionales</w:t>
            </w:r>
          </w:p>
          <w:p>
            <w:pPr>
              <w:spacing w:before="0" w:after="0" w:line="276"/>
              <w:ind w:right="0" w:left="-709" w:hanging="425"/>
              <w:jc w:val="center"/>
              <w:rPr>
                <w:rFonts w:ascii="Franklin Gothic Book" w:hAnsi="Franklin Gothic Book" w:cs="Franklin Gothic Book" w:eastAsia="Franklin Gothic Book"/>
                <w:color w:val="002060"/>
                <w:spacing w:val="0"/>
                <w:position w:val="0"/>
                <w:sz w:val="40"/>
                <w:shd w:fill="auto" w:val="clear"/>
              </w:rPr>
            </w:pPr>
            <w:r>
              <w:rPr>
                <w:rFonts w:ascii="Franklin Gothic Book" w:hAnsi="Franklin Gothic Book" w:cs="Franklin Gothic Book" w:eastAsia="Franklin Gothic Book"/>
                <w:color w:val="002060"/>
                <w:spacing w:val="0"/>
                <w:position w:val="0"/>
                <w:sz w:val="40"/>
                <w:shd w:fill="auto" w:val="clear"/>
              </w:rPr>
              <w:t xml:space="preserve">     </w:t>
            </w:r>
          </w:p>
          <w:p>
            <w:pPr>
              <w:spacing w:before="0" w:after="0" w:line="276"/>
              <w:ind w:right="0" w:left="-1276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-709" w:hanging="425"/>
              <w:jc w:val="center"/>
              <w:rPr>
                <w:rFonts w:ascii="Franklin Gothic Book" w:hAnsi="Franklin Gothic Book" w:cs="Franklin Gothic Book" w:eastAsia="Franklin Gothic Book"/>
                <w:color w:val="FFFFFF"/>
                <w:spacing w:val="0"/>
                <w:position w:val="0"/>
                <w:sz w:val="40"/>
                <w:shd w:fill="auto" w:val="clear"/>
              </w:rPr>
            </w:pPr>
            <w:r>
              <w:rPr>
                <w:rFonts w:ascii="Franklin Gothic Book" w:hAnsi="Franklin Gothic Book" w:cs="Franklin Gothic Book" w:eastAsia="Franklin Gothic Book"/>
                <w:color w:val="FFFFFF"/>
                <w:spacing w:val="0"/>
                <w:position w:val="0"/>
                <w:sz w:val="40"/>
                <w:shd w:fill="auto" w:val="clear"/>
              </w:rPr>
              <w:t xml:space="preserve">     </w:t>
            </w:r>
          </w:p>
          <w:p>
            <w:pPr>
              <w:spacing w:before="0" w:after="0" w:line="276"/>
              <w:ind w:right="0" w:left="142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667" w:hRule="auto"/>
          <w:jc w:val="left"/>
        </w:trPr>
        <w:tc>
          <w:tcPr>
            <w:tcW w:w="64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96"/>
              <w:ind w:right="411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-1276" w:firstLine="0"/>
              <w:jc w:val="center"/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Franklin Gothic Book" w:hAnsi="Franklin Gothic Book" w:cs="Franklin Gothic Book" w:eastAsia="Franklin Gothic Book"/>
                <w:b/>
                <w:color w:val="002060"/>
                <w:spacing w:val="0"/>
                <w:position w:val="0"/>
                <w:sz w:val="28"/>
                <w:shd w:fill="auto" w:val="clear"/>
              </w:rPr>
              <w:t xml:space="preserve">Departamento de Planificación y Desarrollo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b/>
                <w:color w:val="FFFFFF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FFFFFF"/>
                <w:spacing w:val="0"/>
                <w:position w:val="0"/>
                <w:sz w:val="28"/>
                <w:shd w:fill="auto" w:val="clear"/>
              </w:rPr>
              <w:t xml:space="preserve">foCorreo electrónico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Enero/ Marzo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   2022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705" w:dyaOrig="3839">
          <v:rect xmlns:o="urn:schemas-microsoft-com:office:office" xmlns:v="urn:schemas-microsoft-com:vml" id="rectole0000000001" style="width:335.250000pt;height:191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Introducción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360"/>
        <w:ind w:right="0" w:left="0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El presente informe trimestral muestra las estadísticas institucionales del periodo enero/marzo 2022, se destacan los resultados obtenidos de los levantamientos catastrales, los avalúos y los servicios catastrales ofrecidos.</w:t>
      </w:r>
    </w:p>
    <w:p>
      <w:pPr>
        <w:tabs>
          <w:tab w:val="left" w:pos="5681" w:leader="none"/>
        </w:tabs>
        <w:spacing w:before="0" w:after="200" w:line="360"/>
        <w:ind w:right="0" w:left="0" w:firstLine="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Como parte del servicio brindado, se ofrece la información al público sobre la ubicación y extensión de los inmuebles, quien lo habita y en calidad de que y su valor catastral, con el propósito de cumplir con los procesos y estudios de los lineamientos generales para la formación del Catastro Nacional, con la información de los inmuebles que conforman el territorio.  </w:t>
      </w:r>
    </w:p>
    <w:p>
      <w:pPr>
        <w:tabs>
          <w:tab w:val="left" w:pos="5681" w:leader="none"/>
        </w:tabs>
        <w:spacing w:before="0" w:after="200" w:line="360"/>
        <w:ind w:right="0" w:left="0" w:firstLine="0"/>
        <w:jc w:val="both"/>
        <w:rPr>
          <w:rFonts w:ascii="Microsoft Sans Serif" w:hAnsi="Microsoft Sans Serif" w:cs="Microsoft Sans Serif" w:eastAsia="Microsoft Sans Serif"/>
          <w:i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Todo el accionar de la Dirección General del Catastro Nacional es con el propósito de lograr la Visión Institucional propuesta de</w:t>
      </w:r>
      <w:r>
        <w:rPr>
          <w:rFonts w:ascii="Microsoft Sans Serif" w:hAnsi="Microsoft Sans Serif" w:cs="Microsoft Sans Serif" w:eastAsia="Microsoft Sans Serif"/>
          <w:i/>
          <w:color w:val="002060"/>
          <w:spacing w:val="0"/>
          <w:position w:val="0"/>
          <w:sz w:val="28"/>
          <w:shd w:fill="auto" w:val="clear"/>
        </w:rPr>
        <w:t xml:space="preserve">: Ser una entidad orientada al uso multipropósito de la información catastral, apoyada en un sistema integrado y articulado que sirva como herramienta para el desarrollo social y económico del país, con el talento humano competente y comprometido.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Microsoft Sans Serif" w:hAnsi="Microsoft Sans Serif" w:cs="Microsoft Sans Serif" w:eastAsia="Microsoft Sans Serif"/>
          <w:color w:val="212529"/>
          <w:spacing w:val="0"/>
          <w:position w:val="0"/>
          <w:sz w:val="28"/>
          <w:shd w:fill="F0F0F0" w:val="clear"/>
        </w:rPr>
      </w:pPr>
      <w:r>
        <w:rPr>
          <w:rFonts w:ascii="Microsoft Sans Serif" w:hAnsi="Microsoft Sans Serif" w:cs="Microsoft Sans Serif" w:eastAsia="Microsoft Sans Serif"/>
          <w:color w:val="212529"/>
          <w:spacing w:val="0"/>
          <w:position w:val="0"/>
          <w:sz w:val="28"/>
          <w:shd w:fill="F0F0F0" w:val="clear"/>
        </w:rPr>
        <w:t xml:space="preserve"> 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Departamento de Formación de Catastro</w:t>
      </w:r>
    </w:p>
    <w:p>
      <w:pPr>
        <w:spacing w:before="0" w:after="0" w:line="276"/>
        <w:ind w:right="0" w:left="0" w:firstLine="72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Las siguientes actividades presentan los resultados de las labores relativas a la formación del Catastro de inmuebles públicos y privados de las áreas urbana y rural del país.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599" w:dyaOrig="7200">
          <v:rect xmlns:o="urn:schemas-microsoft-com:office:office" xmlns:v="urn:schemas-microsoft-com:vml" id="rectole0000000002" style="width:479.950000pt;height:36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00" w:dyaOrig="11759">
          <v:rect xmlns:o="urn:schemas-microsoft-com:office:office" xmlns:v="urn:schemas-microsoft-com:vml" id="rectole0000000003" style="width:510.000000pt;height:58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         Detalles de Unidades Catastrales Levantadas por Sectores Programado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610"/>
        <w:gridCol w:w="1530"/>
        <w:gridCol w:w="1800"/>
        <w:gridCol w:w="2070"/>
      </w:tblGrid>
      <w:tr>
        <w:trPr>
          <w:trHeight w:val="687" w:hRule="auto"/>
          <w:jc w:val="left"/>
        </w:trPr>
        <w:tc>
          <w:tcPr>
            <w:tcW w:w="2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Actividad Programada 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POA 2022 Trimestre enero-marzo</w:t>
            </w:r>
          </w:p>
        </w:tc>
        <w:tc>
          <w:tcPr>
            <w:tcW w:w="153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Total, de Manzanas Físicas Levantadas</w:t>
            </w:r>
          </w:p>
        </w:tc>
        <w:tc>
          <w:tcPr>
            <w:tcW w:w="180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Total, de Unidades Catastrales Levantadas</w:t>
            </w:r>
          </w:p>
        </w:tc>
        <w:tc>
          <w:tcPr>
            <w:tcW w:w="207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Resultados Obtenidos </w:t>
            </w:r>
          </w:p>
        </w:tc>
      </w:tr>
      <w:tr>
        <w:trPr>
          <w:trHeight w:val="1236" w:hRule="auto"/>
          <w:jc w:val="left"/>
        </w:trPr>
        <w:tc>
          <w:tcPr>
            <w:tcW w:w="2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Formación del sector Villa Francisca D.N.</w:t>
            </w:r>
          </w:p>
        </w:tc>
        <w:tc>
          <w:tcPr>
            <w:tcW w:w="153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  <w:tc>
          <w:tcPr>
            <w:tcW w:w="180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3,721</w:t>
            </w:r>
          </w:p>
        </w:tc>
        <w:tc>
          <w:tcPr>
            <w:tcW w:w="2070" w:type="dxa"/>
            <w:vMerge w:val="restart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1-Formación y actualización de los inmuebles.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2-Actualización de la cartografía catastral.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3-Base de datos catastral (SIC) actualizada.</w:t>
            </w:r>
          </w:p>
        </w:tc>
      </w:tr>
      <w:tr>
        <w:trPr>
          <w:trHeight w:val="1236" w:hRule="auto"/>
          <w:jc w:val="left"/>
        </w:trPr>
        <w:tc>
          <w:tcPr>
            <w:tcW w:w="2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Formación del Villa Consuelo D.N.</w:t>
            </w:r>
          </w:p>
        </w:tc>
        <w:tc>
          <w:tcPr>
            <w:tcW w:w="153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85</w:t>
            </w:r>
          </w:p>
        </w:tc>
        <w:tc>
          <w:tcPr>
            <w:tcW w:w="180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2,161</w:t>
            </w:r>
          </w:p>
        </w:tc>
        <w:tc>
          <w:tcPr>
            <w:tcW w:w="2070" w:type="dxa"/>
            <w:vMerge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236" w:hRule="auto"/>
          <w:jc w:val="left"/>
        </w:trPr>
        <w:tc>
          <w:tcPr>
            <w:tcW w:w="2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Formación del sector Ciudad Universitaria D.N.</w:t>
            </w:r>
          </w:p>
        </w:tc>
        <w:tc>
          <w:tcPr>
            <w:tcW w:w="153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80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71</w:t>
            </w:r>
          </w:p>
        </w:tc>
        <w:tc>
          <w:tcPr>
            <w:tcW w:w="2070" w:type="dxa"/>
            <w:vMerge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-360" w:firstLine="0"/>
        <w:jc w:val="left"/>
        <w:rPr>
          <w:rFonts w:ascii="Microsoft Sans Serif" w:hAnsi="Microsoft Sans Serif" w:cs="Microsoft Sans Serif" w:eastAsia="Microsoft Sans Serif"/>
          <w:b/>
          <w:color w:val="1F487C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1F487C"/>
          <w:spacing w:val="-1"/>
          <w:position w:val="0"/>
          <w:sz w:val="28"/>
          <w:shd w:fill="auto" w:val="clear"/>
        </w:rPr>
        <w:t xml:space="preserve">                   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Detalle de Unidades Digitadas por Provincia y Municipio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695"/>
        <w:gridCol w:w="2705"/>
        <w:gridCol w:w="3510"/>
      </w:tblGrid>
      <w:tr>
        <w:trPr>
          <w:trHeight w:val="134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      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Provincia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705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Municipio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Cantidad de Unidades Catastrales</w:t>
            </w:r>
          </w:p>
        </w:tc>
      </w:tr>
      <w:tr>
        <w:trPr>
          <w:trHeight w:val="243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Azua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Azua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75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Barahona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Jaquimeyes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131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Distrito Nacional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 de Guzmán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10,977</w:t>
            </w:r>
          </w:p>
        </w:tc>
      </w:tr>
      <w:tr>
        <w:trPr>
          <w:trHeight w:val="219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Duarte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Las Guáranas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19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Duarte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Francisco de Macorís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185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Elías Piña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El Llano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25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Espaillat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Cayetano Germosén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12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Espaillat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Gaspar Hernández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18</w:t>
            </w:r>
          </w:p>
        </w:tc>
      </w:tr>
      <w:tr>
        <w:trPr>
          <w:trHeight w:val="12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Espaillat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Jamao al Norte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</w:t>
            </w:r>
          </w:p>
        </w:tc>
      </w:tr>
      <w:tr>
        <w:trPr>
          <w:trHeight w:val="12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Espaillat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Moca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43</w:t>
            </w:r>
          </w:p>
        </w:tc>
      </w:tr>
      <w:tr>
        <w:trPr>
          <w:trHeight w:val="12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Hermanas Mirabal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Salcedo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</w:t>
            </w:r>
          </w:p>
        </w:tc>
      </w:tr>
      <w:tr>
        <w:trPr>
          <w:trHeight w:val="12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Hermanas Mirabal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Tenares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75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Hermanas Mirabal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Villa Tapia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288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María Trinidad Sánchez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Cabrera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13</w:t>
            </w:r>
          </w:p>
        </w:tc>
      </w:tr>
      <w:tr>
        <w:trPr>
          <w:trHeight w:val="131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María Trinidad Sánchez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El Factor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</w:t>
            </w:r>
          </w:p>
        </w:tc>
      </w:tr>
      <w:tr>
        <w:trPr>
          <w:trHeight w:val="251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María Trinidad Sánchez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Nagua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16</w:t>
            </w:r>
          </w:p>
        </w:tc>
      </w:tr>
      <w:tr>
        <w:trPr>
          <w:trHeight w:val="219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María Trinidad Sánchez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Río San Juan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19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Monseñor Nouel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Bonao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</w:t>
            </w:r>
          </w:p>
        </w:tc>
      </w:tr>
      <w:tr>
        <w:trPr>
          <w:trHeight w:val="219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Monte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Monte Plata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</w:t>
            </w:r>
          </w:p>
        </w:tc>
      </w:tr>
      <w:tr>
        <w:trPr>
          <w:trHeight w:val="225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Monte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Yamasá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07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Peravia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Nizao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Puerto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Felipe de Puerto Plata        ( Zona Urbana)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16</w:t>
            </w:r>
          </w:p>
        </w:tc>
      </w:tr>
      <w:tr>
        <w:trPr>
          <w:trHeight w:val="144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Puerto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Altamira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16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Puerto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Imbert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61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Puerto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Luperón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70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Puerto Plata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Villa Isabela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52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Samaná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Las Terrenas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</w:t>
            </w:r>
          </w:p>
        </w:tc>
      </w:tr>
      <w:tr>
        <w:trPr>
          <w:trHeight w:val="252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Samaná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Sánchez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11</w:t>
            </w:r>
          </w:p>
        </w:tc>
      </w:tr>
      <w:tr>
        <w:trPr>
          <w:trHeight w:val="261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Samaná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Santa Bárbara de Samaná (Zona Urbana)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36</w:t>
            </w:r>
          </w:p>
        </w:tc>
      </w:tr>
      <w:tr>
        <w:trPr>
          <w:trHeight w:val="200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Cristóbal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Bajos de Haina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108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Cristóbal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Cristóbal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264" w:hRule="auto"/>
          <w:jc w:val="left"/>
        </w:trPr>
        <w:tc>
          <w:tcPr>
            <w:tcW w:w="269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Sánchez Ramírez</w:t>
            </w:r>
          </w:p>
        </w:tc>
        <w:tc>
          <w:tcPr>
            <w:tcW w:w="270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Cotuí</w:t>
            </w:r>
          </w:p>
        </w:tc>
        <w:tc>
          <w:tcPr>
            <w:tcW w:w="35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64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Sánchez Ramírez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La Mata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64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Bisonó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06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Licey al Medio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68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Puñal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248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Sabana Iglesia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15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Villa González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Santiago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Tamboril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Boca Chica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88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Los Alcarrizos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66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Pedro Brand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9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 Antonio de Guerra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27</w:t>
            </w:r>
          </w:p>
        </w:tc>
      </w:tr>
      <w:tr>
        <w:trPr>
          <w:trHeight w:val="347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 Este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493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 Norte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62</w:t>
            </w:r>
          </w:p>
        </w:tc>
      </w:tr>
      <w:tr>
        <w:trPr>
          <w:trHeight w:val="300" w:hRule="auto"/>
          <w:jc w:val="left"/>
        </w:trPr>
        <w:tc>
          <w:tcPr>
            <w:tcW w:w="269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</w:t>
            </w:r>
          </w:p>
        </w:tc>
        <w:tc>
          <w:tcPr>
            <w:tcW w:w="2705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Santo Domingo Norte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37</w:t>
            </w:r>
          </w:p>
        </w:tc>
      </w:tr>
      <w:tr>
        <w:trPr>
          <w:trHeight w:val="244" w:hRule="auto"/>
          <w:jc w:val="left"/>
        </w:trPr>
        <w:tc>
          <w:tcPr>
            <w:tcW w:w="5400" w:type="dxa"/>
            <w:gridSpan w:val="2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Total</w:t>
            </w:r>
          </w:p>
        </w:tc>
        <w:tc>
          <w:tcPr>
            <w:tcW w:w="35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12,011</w:t>
            </w:r>
          </w:p>
        </w:tc>
      </w:tr>
    </w:tbl>
    <w:p>
      <w:pPr>
        <w:tabs>
          <w:tab w:val="left" w:pos="6096" w:leader="none"/>
        </w:tabs>
        <w:spacing w:before="0" w:after="0" w:line="276"/>
        <w:ind w:right="0" w:left="-284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096" w:leader="none"/>
        </w:tabs>
        <w:spacing w:before="0" w:after="0" w:line="276"/>
        <w:ind w:right="0" w:left="-284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659" w:dyaOrig="7859">
          <v:rect xmlns:o="urn:schemas-microsoft-com:office:office" xmlns:v="urn:schemas-microsoft-com:vml" id="rectole0000000004" style="width:482.950000pt;height:392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Digitación a la Base de Datos del SIC de las Unidades Catastrales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>
        <w:tblInd w:w="625" w:type="dxa"/>
      </w:tblPr>
      <w:tblGrid>
        <w:gridCol w:w="1668"/>
        <w:gridCol w:w="3317"/>
        <w:gridCol w:w="1658"/>
        <w:gridCol w:w="2324"/>
      </w:tblGrid>
      <w:tr>
        <w:trPr>
          <w:trHeight w:val="564" w:hRule="auto"/>
          <w:jc w:val="left"/>
        </w:trPr>
        <w:tc>
          <w:tcPr>
            <w:tcW w:w="1668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Actividad Programada</w:t>
            </w:r>
          </w:p>
        </w:tc>
        <w:tc>
          <w:tcPr>
            <w:tcW w:w="3317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4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Actividades Realizadas</w:t>
            </w:r>
          </w:p>
        </w:tc>
        <w:tc>
          <w:tcPr>
            <w:tcW w:w="1658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Total, de Unidades Catastrales Digitales</w:t>
            </w:r>
          </w:p>
        </w:tc>
        <w:tc>
          <w:tcPr>
            <w:tcW w:w="2324" w:type="dxa"/>
            <w:vMerge w:val="restart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Resultados Obtenidos</w:t>
            </w:r>
          </w:p>
        </w:tc>
      </w:tr>
      <w:tr>
        <w:trPr>
          <w:trHeight w:val="564" w:hRule="auto"/>
          <w:jc w:val="left"/>
        </w:trPr>
        <w:tc>
          <w:tcPr>
            <w:tcW w:w="1668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17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58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4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64" w:hRule="auto"/>
          <w:jc w:val="left"/>
        </w:trPr>
        <w:tc>
          <w:tcPr>
            <w:tcW w:w="1668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17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58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24" w:type="dxa"/>
            <w:vMerge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32" w:hRule="auto"/>
          <w:jc w:val="left"/>
        </w:trPr>
        <w:tc>
          <w:tcPr>
            <w:tcW w:w="166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Integrar Unidades Catastrales a la base de datos del Sistema Catastral (SIC)</w:t>
            </w:r>
          </w:p>
        </w:tc>
        <w:tc>
          <w:tcPr>
            <w:tcW w:w="331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Digitación Unidades Catastrales levantada en campo y las solicitadas por usuario particulares para la inscripción de mejoras.</w:t>
            </w:r>
          </w:p>
        </w:tc>
        <w:tc>
          <w:tcPr>
            <w:tcW w:w="1658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12,011</w:t>
            </w:r>
          </w:p>
        </w:tc>
        <w:tc>
          <w:tcPr>
            <w:tcW w:w="2324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4" w:type="dxa"/>
              <w:right w:w="1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Unidades Catastrales registradas e inventariadas en la base de datos del SIC.</w:t>
            </w:r>
          </w:p>
        </w:tc>
      </w:tr>
    </w:tbl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         Elaboración de Certificados de Inscripción Catastral 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000"/>
        <w:gridCol w:w="1890"/>
        <w:gridCol w:w="1620"/>
        <w:gridCol w:w="1980"/>
        <w:gridCol w:w="1610"/>
      </w:tblGrid>
      <w:tr>
        <w:trPr>
          <w:trHeight w:val="1" w:hRule="atLeast"/>
          <w:jc w:val="left"/>
        </w:trPr>
        <w:tc>
          <w:tcPr>
            <w:tcW w:w="20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Actividad Programada</w:t>
            </w:r>
          </w:p>
        </w:tc>
        <w:tc>
          <w:tcPr>
            <w:tcW w:w="189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Actividades Realizadas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Total, de Certificados Expedidos</w:t>
            </w:r>
          </w:p>
        </w:tc>
        <w:tc>
          <w:tcPr>
            <w:tcW w:w="19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Resultados Obtenidos </w:t>
            </w:r>
          </w:p>
        </w:tc>
        <w:tc>
          <w:tcPr>
            <w:tcW w:w="1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Acción a Partir de Resultados</w:t>
            </w:r>
          </w:p>
        </w:tc>
      </w:tr>
      <w:tr>
        <w:trPr>
          <w:trHeight w:val="2446" w:hRule="auto"/>
          <w:jc w:val="left"/>
        </w:trPr>
        <w:tc>
          <w:tcPr>
            <w:tcW w:w="200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Elaboración de Certificado de Inscripción Catastral. </w:t>
            </w:r>
          </w:p>
        </w:tc>
        <w:tc>
          <w:tcPr>
            <w:tcW w:w="189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1-Control de calidad. 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2-Impresión de certificados de Inscripción Catastral. </w:t>
            </w:r>
          </w:p>
        </w:tc>
        <w:tc>
          <w:tcPr>
            <w:tcW w:w="162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695</w:t>
            </w:r>
          </w:p>
        </w:tc>
        <w:tc>
          <w:tcPr>
            <w:tcW w:w="198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Certificados de Inscripción Catastral verificados e impresos.</w:t>
            </w:r>
          </w:p>
        </w:tc>
        <w:tc>
          <w:tcPr>
            <w:tcW w:w="1610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4"/>
                <w:shd w:fill="auto" w:val="clear"/>
              </w:rPr>
              <w:t xml:space="preserve">Enviar a la firma del Director General.                                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096" w:leader="none"/>
        </w:tabs>
        <w:spacing w:before="0" w:after="0" w:line="276"/>
        <w:ind w:right="0" w:left="-284" w:firstLine="0"/>
        <w:jc w:val="left"/>
        <w:rPr>
          <w:rFonts w:ascii="Microsoft Sans Serif" w:hAnsi="Microsoft Sans Serif" w:cs="Microsoft Sans Serif" w:eastAsia="Microsoft Sans Serif"/>
          <w:b/>
          <w:color w:val="FFFFFF"/>
          <w:spacing w:val="0"/>
          <w:position w:val="0"/>
          <w:sz w:val="20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FFFFFF"/>
          <w:spacing w:val="0"/>
          <w:position w:val="0"/>
          <w:sz w:val="20"/>
          <w:shd w:fill="auto" w:val="clear"/>
        </w:rPr>
        <w:t xml:space="preserve">Detalle de unidades digitadas por provincia y municipio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División de Cartografía</w:t>
      </w:r>
    </w:p>
    <w:p>
      <w:pPr>
        <w:spacing w:before="0" w:after="0" w:line="276"/>
        <w:ind w:right="0" w:left="0" w:firstLine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Estas operaciones son realizadas con la finalidad de crear y/o actualizar la cartografía catastral, enlazándola y determinando aspectos físicos y jurídicos de las unidades catastrales levantadas.</w:t>
      </w:r>
    </w:p>
    <w:tbl>
      <w:tblPr/>
      <w:tblGrid>
        <w:gridCol w:w="1660"/>
        <w:gridCol w:w="2341"/>
        <w:gridCol w:w="3635"/>
      </w:tblGrid>
      <w:tr>
        <w:trPr>
          <w:trHeight w:val="480" w:hRule="auto"/>
          <w:jc w:val="center"/>
        </w:trPr>
        <w:tc>
          <w:tcPr>
            <w:tcW w:w="7636" w:type="dxa"/>
            <w:gridSpan w:val="3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Enlace Catastral y Levantamiento de Datos Jurídicos.</w:t>
            </w:r>
          </w:p>
        </w:tc>
      </w:tr>
      <w:tr>
        <w:trPr>
          <w:trHeight w:val="660" w:hRule="auto"/>
          <w:jc w:val="center"/>
        </w:trPr>
        <w:tc>
          <w:tcPr>
            <w:tcW w:w="1660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Sector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Total, de Manzanas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Total, de Unidades Catastrales</w:t>
            </w:r>
          </w:p>
        </w:tc>
      </w:tr>
      <w:tr>
        <w:trPr>
          <w:trHeight w:val="315" w:hRule="auto"/>
          <w:jc w:val="center"/>
        </w:trPr>
        <w:tc>
          <w:tcPr>
            <w:tcW w:w="166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Los Jardines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96</w:t>
            </w:r>
          </w:p>
        </w:tc>
      </w:tr>
      <w:tr>
        <w:trPr>
          <w:trHeight w:val="315" w:hRule="auto"/>
          <w:jc w:val="center"/>
        </w:trPr>
        <w:tc>
          <w:tcPr>
            <w:tcW w:w="166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Villas Agrícolas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63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1891</w:t>
            </w:r>
          </w:p>
        </w:tc>
      </w:tr>
      <w:tr>
        <w:trPr>
          <w:trHeight w:val="315" w:hRule="auto"/>
          <w:jc w:val="center"/>
        </w:trPr>
        <w:tc>
          <w:tcPr>
            <w:tcW w:w="1660" w:type="dxa"/>
            <w:tcBorders>
              <w:top w:val="single" w:color="000000" w:sz="0"/>
              <w:left w:val="single" w:color="000000" w:sz="10"/>
              <w:bottom w:val="single" w:color="000000" w:sz="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 Los Mina Sur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108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1731</w:t>
            </w:r>
          </w:p>
        </w:tc>
      </w:tr>
      <w:tr>
        <w:trPr>
          <w:trHeight w:val="315" w:hRule="auto"/>
          <w:jc w:val="center"/>
        </w:trPr>
        <w:tc>
          <w:tcPr>
            <w:tcW w:w="1660" w:type="dxa"/>
            <w:tcBorders>
              <w:top w:val="single" w:color="000000" w:sz="1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Los Peralejos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39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917</w:t>
            </w:r>
          </w:p>
        </w:tc>
      </w:tr>
      <w:tr>
        <w:trPr>
          <w:trHeight w:val="748" w:hRule="auto"/>
          <w:jc w:val="center"/>
        </w:trPr>
        <w:tc>
          <w:tcPr>
            <w:tcW w:w="166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Brisa del Canal                    </w:t>
            </w:r>
          </w:p>
          <w:p>
            <w:pPr>
              <w:tabs>
                <w:tab w:val="left" w:pos="5681" w:leader="none"/>
              </w:tabs>
              <w:spacing w:before="0" w:after="200" w:line="276"/>
              <w:ind w:right="0" w:left="0" w:firstLine="24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  (Bani)</w:t>
            </w:r>
          </w:p>
        </w:tc>
        <w:tc>
          <w:tcPr>
            <w:tcW w:w="2341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3635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72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128</w:t>
            </w:r>
          </w:p>
        </w:tc>
      </w:tr>
    </w:tbl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br/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700"/>
        <w:gridCol w:w="4410"/>
      </w:tblGrid>
      <w:tr>
        <w:trPr>
          <w:trHeight w:val="585" w:hRule="auto"/>
          <w:jc w:val="center"/>
        </w:trPr>
        <w:tc>
          <w:tcPr>
            <w:tcW w:w="7110" w:type="dxa"/>
            <w:gridSpan w:val="2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Validación de Datos Legales</w:t>
            </w:r>
          </w:p>
        </w:tc>
      </w:tr>
      <w:tr>
        <w:trPr>
          <w:trHeight w:val="330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Sector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Total, de Manzanas</w:t>
            </w:r>
          </w:p>
        </w:tc>
      </w:tr>
      <w:tr>
        <w:trPr>
          <w:trHeight w:val="375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Ensanche la Fe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81</w:t>
            </w:r>
          </w:p>
        </w:tc>
      </w:tr>
      <w:tr>
        <w:trPr>
          <w:trHeight w:val="361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Los Jardines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15</w:t>
            </w:r>
          </w:p>
        </w:tc>
      </w:tr>
      <w:tr>
        <w:trPr>
          <w:trHeight w:val="375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Villas Agrícolas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77</w:t>
            </w:r>
          </w:p>
        </w:tc>
      </w:tr>
      <w:tr>
        <w:trPr>
          <w:trHeight w:val="375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Los Mina Sur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108</w:t>
            </w:r>
          </w:p>
        </w:tc>
      </w:tr>
      <w:tr>
        <w:trPr>
          <w:trHeight w:val="375" w:hRule="auto"/>
          <w:jc w:val="center"/>
        </w:trPr>
        <w:tc>
          <w:tcPr>
            <w:tcW w:w="270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Los Peralejos</w:t>
            </w:r>
          </w:p>
        </w:tc>
        <w:tc>
          <w:tcPr>
            <w:tcW w:w="4410" w:type="dxa"/>
            <w:tcBorders>
              <w:top w:val="single" w:color="000000" w:sz="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tabs>
                <w:tab w:val="left" w:pos="5681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20</w:t>
            </w:r>
          </w:p>
        </w:tc>
      </w:tr>
    </w:tbl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970"/>
        <w:gridCol w:w="3420"/>
      </w:tblGrid>
      <w:tr>
        <w:trPr>
          <w:trHeight w:val="765" w:hRule="auto"/>
          <w:jc w:val="center"/>
        </w:trPr>
        <w:tc>
          <w:tcPr>
            <w:tcW w:w="6390" w:type="dxa"/>
            <w:gridSpan w:val="2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4"/>
                <w:shd w:fill="auto" w:val="clear"/>
              </w:rPr>
              <w:t xml:space="preserve">Validación de Datos en el Sistema de Información Catastral</w:t>
            </w:r>
          </w:p>
        </w:tc>
      </w:tr>
      <w:tr>
        <w:trPr>
          <w:trHeight w:val="450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3"/>
                <w:shd w:fill="auto" w:val="clear"/>
              </w:rPr>
              <w:t xml:space="preserve">Sector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3"/>
                <w:shd w:fill="auto" w:val="clear"/>
              </w:rPr>
              <w:t xml:space="preserve">Total, de Unidades Trabajadas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Ciudad Nueva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1,088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Ens. Paraiso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427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San Juan Bosco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1,037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Ens. Naco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275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Renacimiento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1,634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Mata Hambre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1,272</w:t>
            </w:r>
          </w:p>
        </w:tc>
      </w:tr>
      <w:tr>
        <w:trPr>
          <w:trHeight w:val="495" w:hRule="auto"/>
          <w:jc w:val="center"/>
        </w:trPr>
        <w:tc>
          <w:tcPr>
            <w:tcW w:w="297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Ens. Ozama</w:t>
            </w:r>
          </w:p>
        </w:tc>
        <w:tc>
          <w:tcPr>
            <w:tcW w:w="3420" w:type="dxa"/>
            <w:tcBorders>
              <w:top w:val="single" w:color="000000" w:sz="0"/>
              <w:left w:val="single" w:color="000000" w:sz="1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3,559</w:t>
            </w:r>
          </w:p>
        </w:tc>
      </w:tr>
    </w:tbl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División de Levantamiento y Estudio Catastral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Book Antiqua" w:hAnsi="Book Antiqua" w:cs="Book Antiqua" w:eastAsia="Book Antiqua"/>
          <w:color w:val="FFFFFF"/>
          <w:spacing w:val="0"/>
          <w:position w:val="0"/>
          <w:sz w:val="28"/>
          <w:shd w:fill="auto" w:val="clear"/>
        </w:rPr>
        <w:t xml:space="preserve">La </w:t>
      </w: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Presente información muestra las investigaciones a fin de determinar los propietarios registrados de cada inmueble, así como, la localización física de los mismos, con la finalidad de determinar la situación. </w:t>
      </w:r>
    </w:p>
    <w:tbl>
      <w:tblPr>
        <w:tblInd w:w="445" w:type="dxa"/>
      </w:tblPr>
      <w:tblGrid>
        <w:gridCol w:w="2764"/>
        <w:gridCol w:w="3209"/>
        <w:gridCol w:w="2757"/>
      </w:tblGrid>
      <w:tr>
        <w:trPr>
          <w:trHeight w:val="1" w:hRule="atLeast"/>
          <w:jc w:val="left"/>
        </w:trPr>
        <w:tc>
          <w:tcPr>
            <w:tcW w:w="2764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Expediente Despachados enero-marzo 2022</w:t>
            </w:r>
          </w:p>
        </w:tc>
        <w:tc>
          <w:tcPr>
            <w:tcW w:w="320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Observados</w:t>
            </w:r>
          </w:p>
        </w:tc>
        <w:tc>
          <w:tcPr>
            <w:tcW w:w="27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c4e3ee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2"/>
                <w:shd w:fill="auto" w:val="clear"/>
              </w:rPr>
              <w:t xml:space="preserve">Cancelados</w:t>
            </w:r>
          </w:p>
        </w:tc>
      </w:tr>
      <w:tr>
        <w:trPr>
          <w:trHeight w:val="1" w:hRule="atLeast"/>
          <w:jc w:val="left"/>
        </w:trPr>
        <w:tc>
          <w:tcPr>
            <w:tcW w:w="2764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695</w:t>
            </w:r>
          </w:p>
        </w:tc>
        <w:tc>
          <w:tcPr>
            <w:tcW w:w="3209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2757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5681" w:leader="none"/>
              </w:tabs>
              <w:spacing w:before="0" w:after="20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22"/>
                <w:shd w:fill="auto" w:val="clear"/>
              </w:rPr>
              <w:t xml:space="preserve">08</w:t>
            </w:r>
          </w:p>
        </w:tc>
      </w:tr>
    </w:tbl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Departamento de Valoración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Las actividades de investigación y valoración de inmuebles Rurales y Urbanos, que determinan a treves de la inspección de inmuebles, las características físicas de las edificaciones, si las hubiera, comprobación de la existencia de servicios públicos y otros. </w:t>
      </w:r>
    </w:p>
    <w:tbl>
      <w:tblPr/>
      <w:tblGrid>
        <w:gridCol w:w="5210"/>
        <w:gridCol w:w="1890"/>
        <w:gridCol w:w="1710"/>
      </w:tblGrid>
      <w:tr>
        <w:trPr>
          <w:trHeight w:val="330" w:hRule="auto"/>
          <w:jc w:val="center"/>
        </w:trPr>
        <w:tc>
          <w:tcPr>
            <w:tcW w:w="8810" w:type="dxa"/>
            <w:gridSpan w:val="3"/>
            <w:tcBorders>
              <w:top w:val="single" w:color="000000" w:sz="5"/>
              <w:left w:val="single" w:color="000000" w:sz="5"/>
              <w:bottom w:val="single" w:color="000000" w:sz="0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5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0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Descripción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Recibidos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ccec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20"/>
                <w:shd w:fill="auto" w:val="clear"/>
              </w:rPr>
              <w:t xml:space="preserve">Trabajados</w:t>
            </w:r>
          </w:p>
        </w:tc>
      </w:tr>
      <w:tr>
        <w:trPr>
          <w:trHeight w:val="235" w:hRule="auto"/>
          <w:jc w:val="center"/>
        </w:trPr>
        <w:tc>
          <w:tcPr>
            <w:tcW w:w="5210" w:type="dxa"/>
            <w:tcBorders>
              <w:top w:val="single" w:color="000000" w:sz="1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Privados.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103</w:t>
            </w:r>
          </w:p>
        </w:tc>
        <w:tc>
          <w:tcPr>
            <w:tcW w:w="1710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50</w:t>
            </w:r>
          </w:p>
        </w:tc>
      </w:tr>
      <w:tr>
        <w:trPr>
          <w:trHeight w:val="335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Ministerio de Hacienda.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0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Administración General de Bienes Nacionales.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45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9</w:t>
            </w:r>
          </w:p>
        </w:tc>
      </w:tr>
      <w:tr>
        <w:trPr>
          <w:trHeight w:val="317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Consejo Estatal del Azúcar (CEA).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17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37</w:t>
            </w:r>
          </w:p>
        </w:tc>
      </w:tr>
      <w:tr>
        <w:trPr>
          <w:trHeight w:val="30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Presidencia de la República.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14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30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Procuraduría General de la Rep. Dom.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27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38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Ministerio de Interior y Policía.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</w:t>
            </w:r>
          </w:p>
        </w:tc>
      </w:tr>
      <w:tr>
        <w:trPr>
          <w:trHeight w:val="38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Oficina de Reordenamiento de Transporte.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38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Bancos agrícolas de la Rep. Dom.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38</w:t>
            </w:r>
          </w:p>
        </w:tc>
      </w:tr>
      <w:tr>
        <w:trPr>
          <w:trHeight w:val="344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Ministerio de Vivienda y Edificaciones.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53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Departamento Aeroportuario.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353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Unidad Ejecutora para la readecuación de la Barquita (URBE).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160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288</w:t>
            </w:r>
          </w:p>
        </w:tc>
      </w:tr>
      <w:tr>
        <w:trPr>
          <w:trHeight w:val="38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Ayuntamiento de Monte Plata.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17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32</w:t>
            </w:r>
          </w:p>
        </w:tc>
      </w:tr>
      <w:tr>
        <w:trPr>
          <w:trHeight w:val="323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Ayuntamiento del Distrito Nacional.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8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Centro de Desarrollo y Competitividad (PROINDUSTRIA).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9</w:t>
            </w:r>
          </w:p>
        </w:tc>
      </w:tr>
      <w:tr>
        <w:trPr>
          <w:trHeight w:val="407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Ayuntamiento de Santiago.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17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12</w:t>
            </w:r>
          </w:p>
        </w:tc>
      </w:tr>
      <w:tr>
        <w:trPr>
          <w:trHeight w:val="434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Ayuntamiento de Bayaguana.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7</w:t>
            </w:r>
          </w:p>
        </w:tc>
      </w:tr>
      <w:tr>
        <w:trPr>
          <w:trHeight w:val="360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Instituto Nacional de Aguas Potables y Alcantarillados (INAPA).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398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Ministerio de Medio Ambiente.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98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Dirección de Desarrollo de la Comunidad.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62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Ministerio de Obras Públicas y Comunicaciones.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7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</w:t>
            </w:r>
          </w:p>
        </w:tc>
      </w:tr>
      <w:tr>
        <w:trPr>
          <w:trHeight w:val="353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Instituto Nacional de la Vivienda (INVI).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</w:t>
            </w:r>
          </w:p>
        </w:tc>
      </w:tr>
      <w:tr>
        <w:trPr>
          <w:trHeight w:val="317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Ayuntamiento de Tenares.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</w:tr>
      <w:tr>
        <w:trPr>
          <w:trHeight w:val="344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Dirección General de Impuestos Internos.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362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Instituto Agrario Dominicano (IAD).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</w:t>
            </w:r>
          </w:p>
        </w:tc>
      </w:tr>
      <w:tr>
        <w:trPr>
          <w:trHeight w:val="425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Comisión Presidencial de Apoyo y Desarrollo (PROVI).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452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Tribunal Superior Administrativo.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31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</w:tr>
      <w:tr>
        <w:trPr>
          <w:trHeight w:val="245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Autoridad Portuaria Dominicana.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11</w:t>
            </w:r>
          </w:p>
        </w:tc>
      </w:tr>
      <w:tr>
        <w:trPr>
          <w:trHeight w:val="398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Delegación de Santiago.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12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</w:tr>
      <w:tr>
        <w:trPr>
          <w:trHeight w:val="425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Delegación de San Francisco de Macorís.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452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Corporación Dominicana de Empresas Eléctricas Estatales (CDEEE).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8</w:t>
            </w:r>
          </w:p>
        </w:tc>
      </w:tr>
      <w:tr>
        <w:trPr>
          <w:trHeight w:val="479" w:hRule="auto"/>
          <w:jc w:val="center"/>
        </w:trPr>
        <w:tc>
          <w:tcPr>
            <w:tcW w:w="5210" w:type="dxa"/>
            <w:tcBorders>
              <w:top w:val="single" w:color="000000" w:sz="0"/>
              <w:left w:val="single" w:color="000000" w:sz="1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Corporación del Acueducto y Alcantarillado de Santo Domingo (CAASD).</w:t>
            </w:r>
          </w:p>
        </w:tc>
        <w:tc>
          <w:tcPr>
            <w:tcW w:w="189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71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</w:tr>
      <w:tr>
        <w:trPr>
          <w:trHeight w:val="379" w:hRule="auto"/>
          <w:jc w:val="center"/>
        </w:trPr>
        <w:tc>
          <w:tcPr>
            <w:tcW w:w="5210" w:type="dxa"/>
            <w:tcBorders>
              <w:top w:val="single" w:color="000000" w:sz="10"/>
              <w:left w:val="single" w:color="000000" w:sz="10"/>
              <w:bottom w:val="single" w:color="000000" w:sz="10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Total, Mensual</w:t>
            </w:r>
          </w:p>
        </w:tc>
        <w:tc>
          <w:tcPr>
            <w:tcW w:w="1890" w:type="dxa"/>
            <w:tcBorders>
              <w:top w:val="single" w:color="000000" w:sz="10"/>
              <w:left w:val="single" w:color="000000" w:sz="0"/>
              <w:bottom w:val="single" w:color="000000" w:sz="10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517</w:t>
            </w:r>
          </w:p>
        </w:tc>
        <w:tc>
          <w:tcPr>
            <w:tcW w:w="1710" w:type="dxa"/>
            <w:tcBorders>
              <w:top w:val="single" w:color="000000" w:sz="10"/>
              <w:left w:val="single" w:color="000000" w:sz="0"/>
              <w:bottom w:val="single" w:color="000000" w:sz="10"/>
              <w:right w:val="single" w:color="000000" w:sz="1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547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Servicios Catastrales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2124"/>
        <w:gridCol w:w="1347"/>
        <w:gridCol w:w="1171"/>
        <w:gridCol w:w="1157"/>
        <w:gridCol w:w="1198"/>
        <w:gridCol w:w="1174"/>
        <w:gridCol w:w="1457"/>
      </w:tblGrid>
      <w:tr>
        <w:trPr>
          <w:trHeight w:val="615" w:hRule="auto"/>
          <w:jc w:val="left"/>
        </w:trPr>
        <w:tc>
          <w:tcPr>
            <w:tcW w:w="2124" w:type="dxa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Servicios solicitados</w:t>
            </w: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Cantidad</w:t>
              <w:br/>
              <w:t xml:space="preserve">Solicitada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Solicitudes </w:t>
              <w:br/>
              <w:t xml:space="preserve">Observadas</w:t>
            </w:r>
          </w:p>
        </w:tc>
        <w:tc>
          <w:tcPr>
            <w:tcW w:w="115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Solicitudes </w:t>
              <w:br/>
              <w:t xml:space="preserve">Pendientes</w:t>
            </w:r>
          </w:p>
        </w:tc>
        <w:tc>
          <w:tcPr>
            <w:tcW w:w="1198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Solicitudes </w:t>
              <w:br/>
              <w:t xml:space="preserve">Procesadas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Solicitudes</w:t>
              <w:br/>
              <w:t xml:space="preserve">Entregadas</w:t>
            </w:r>
          </w:p>
        </w:tc>
        <w:tc>
          <w:tcPr>
            <w:tcW w:w="145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add8e6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Porcentaje de </w:t>
              <w:br/>
              <w:t xml:space="preserve">Cumplimiento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Actualización de Avalúo.</w:t>
            </w: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18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14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50%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Avalúos de Inmuebles.</w:t>
            </w: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390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268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122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947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Certificación de Inscripción de Inmuebles.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62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21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41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22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50%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Certificación de NO Inscripción de Inmuebles.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4,884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4,883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3,869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Certificación de Avalúo.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7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50%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Duplicado por pérdida o deterioro del Certificado de Inscripción Catastral.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16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12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929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Inscripción de Inmueble amparado con certificado de título.</w:t>
            </w: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69%</w:t>
            </w:r>
          </w:p>
        </w:tc>
      </w:tr>
      <w:tr>
        <w:trPr>
          <w:trHeight w:val="480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Inscripción de Inmueble no amparado con certificado de título.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683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6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253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424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145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17%</w:t>
            </w:r>
          </w:p>
        </w:tc>
      </w:tr>
      <w:tr>
        <w:trPr>
          <w:trHeight w:val="632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Reconsideración o revisión de avalúo.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31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30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776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Transferencia o mutación del certificado de inscripción catastral.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28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18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5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794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Ubicación de inmueble por designación catastral.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261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0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261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215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002060"/>
                <w:spacing w:val="0"/>
                <w:position w:val="0"/>
                <w:sz w:val="18"/>
                <w:shd w:fill="auto" w:val="clear"/>
              </w:rPr>
              <w:t xml:space="preserve">100%</w:t>
            </w:r>
          </w:p>
        </w:tc>
      </w:tr>
      <w:tr>
        <w:trPr>
          <w:trHeight w:val="255" w:hRule="auto"/>
          <w:jc w:val="left"/>
        </w:trPr>
        <w:tc>
          <w:tcPr>
            <w:tcW w:w="2124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Total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347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6,383</w:t>
            </w:r>
          </w:p>
        </w:tc>
        <w:tc>
          <w:tcPr>
            <w:tcW w:w="1171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6</w:t>
            </w:r>
          </w:p>
        </w:tc>
        <w:tc>
          <w:tcPr>
            <w:tcW w:w="11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611</w:t>
            </w:r>
          </w:p>
        </w:tc>
        <w:tc>
          <w:tcPr>
            <w:tcW w:w="1198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5,766</w:t>
            </w:r>
          </w:p>
        </w:tc>
        <w:tc>
          <w:tcPr>
            <w:tcW w:w="1174" w:type="dxa"/>
            <w:tcBorders>
              <w:top w:val="single" w:color="000000" w:sz="5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4,256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002060"/>
                <w:spacing w:val="0"/>
                <w:position w:val="0"/>
                <w:sz w:val="18"/>
                <w:shd w:fill="auto" w:val="clear"/>
              </w:rPr>
              <w:t xml:space="preserve">90%</w:t>
            </w:r>
          </w:p>
        </w:tc>
      </w:tr>
    </w:tbl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left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Para su conocimiento y fines de lugar se despide,</w: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460" w:dyaOrig="2954">
          <v:rect xmlns:o="urn:schemas-microsoft-com:office:office" xmlns:v="urn:schemas-microsoft-com:vml" id="rectole0000000005" style="width:273.000000pt;height:147.7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Tecnología de la información y comunicación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